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  <w:gridCol w:w="91"/>
      </w:tblGrid>
      <w:tr w:rsidR="009C751A" w:rsidRPr="009C751A" w:rsidTr="009C751A">
        <w:trPr>
          <w:tblCellSpacing w:w="0" w:type="dxa"/>
        </w:trPr>
        <w:tc>
          <w:tcPr>
            <w:tcW w:w="4950" w:type="pct"/>
            <w:hideMark/>
          </w:tcPr>
          <w:p w:rsidR="009C751A" w:rsidRPr="009C751A" w:rsidRDefault="00694355" w:rsidP="009C75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Gezondheidsrecht </w:t>
            </w:r>
            <w:r w:rsidR="009C751A" w:rsidRPr="009C751A">
              <w:rPr>
                <w:b/>
                <w:bCs/>
              </w:rPr>
              <w:t xml:space="preserve"> in de geestelijke gezondheidszorg (A1787)</w:t>
            </w:r>
          </w:p>
        </w:tc>
        <w:tc>
          <w:tcPr>
            <w:tcW w:w="50" w:type="pct"/>
            <w:hideMark/>
          </w:tcPr>
          <w:p w:rsidR="009C751A" w:rsidRPr="009C751A" w:rsidRDefault="009C751A" w:rsidP="009C751A"/>
        </w:tc>
      </w:tr>
    </w:tbl>
    <w:p w:rsidR="009C751A" w:rsidRPr="009C751A" w:rsidRDefault="00694355" w:rsidP="009C751A">
      <w:r>
        <w:t xml:space="preserve">Basiskennis van wet- en regelgeving in de gezondheidszorg is van belang om op de hoogte te zijn van de eigen rechtspositie en die van de patiënt. Deze kennis kan klachten en claims voorkomen </w:t>
      </w:r>
      <w:r w:rsidR="009C751A" w:rsidRPr="009C751A">
        <w:t>en draagt bij aan de bevordering van de kwaliteit van de beroepsuitoefening in de zorg.</w:t>
      </w:r>
      <w:r w:rsidR="009C751A" w:rsidRPr="009C751A">
        <w:br/>
        <w:t xml:space="preserve">De laatste </w:t>
      </w:r>
      <w:r>
        <w:t xml:space="preserve">decennia </w:t>
      </w:r>
      <w:r w:rsidR="009C751A" w:rsidRPr="009C751A">
        <w:t xml:space="preserve"> is er </w:t>
      </w:r>
      <w:r>
        <w:t xml:space="preserve">een grote </w:t>
      </w:r>
      <w:r w:rsidR="009C751A" w:rsidRPr="009C751A">
        <w:t xml:space="preserve"> belangstelling voor </w:t>
      </w:r>
      <w:r>
        <w:t xml:space="preserve">het recht ontstaan. </w:t>
      </w:r>
      <w:r w:rsidR="009C751A" w:rsidRPr="009C751A">
        <w:t xml:space="preserve"> </w:t>
      </w:r>
      <w:r>
        <w:t>Patiënten en cliënten in de gezondheidszorg werden mondiger, kritischer en er ontstond een groter rechtsbewustzijn. Deze ontwikkeli</w:t>
      </w:r>
      <w:r w:rsidR="004C56AE">
        <w:t>n</w:t>
      </w:r>
      <w:r>
        <w:t>gen hebben onder andere geleid tot een groter aantal klachten</w:t>
      </w:r>
      <w:r w:rsidR="004C56AE">
        <w:t xml:space="preserve"> over behandelingen en handelingen van hulpverl</w:t>
      </w:r>
      <w:r w:rsidR="0030684C">
        <w:t>e</w:t>
      </w:r>
      <w:r w:rsidR="004C56AE">
        <w:t>ners in de zorg. BIG beroepsbeoefenaren in de geestelijke gezondheidszorg kunnen in hun praktijk te maken krijgen met het klachtrecht, tuchtrecht, civiel recht of het strafrecht.</w:t>
      </w:r>
      <w:r w:rsidR="004E230D">
        <w:t xml:space="preserve"> </w:t>
      </w:r>
      <w:r w:rsidR="009C751A" w:rsidRPr="009C751A">
        <w:t xml:space="preserve">Het aantal tuchtuitspraken neemt al jaren toe en is inmiddels opgelopen tot gemiddeld 1600 per jaar. Tuchtuitspraken hebben vaak effect op de beroepsgroep door aanpassing van regels/beleid en normontwikkeling naar aanleiding van de tuchtuitspraak. Voor de BIG-beroepen in de geestelijke gezondheidszorg zijn belangrijke tuchtuitspraken geweest over onder andere de schending van het beroepsgeheim, onjuiste verklaring of rapportage, dossiervorming en grensoverschrijdend gedrag. </w:t>
      </w:r>
    </w:p>
    <w:p w:rsidR="009C751A" w:rsidRPr="009C751A" w:rsidRDefault="009C751A" w:rsidP="009C751A">
      <w:r w:rsidRPr="009C751A">
        <w:rPr>
          <w:b/>
          <w:bCs/>
        </w:rPr>
        <w:t>Doel</w:t>
      </w:r>
      <w:r w:rsidRPr="009C751A">
        <w:br/>
        <w:t xml:space="preserve">Na afloop van de cursus </w:t>
      </w:r>
      <w:r w:rsidR="004C56AE">
        <w:t>kunt u de belangrijkste regelgeving voor uw beroepsuitoefening op basis van wetgeving en uw beroepscode</w:t>
      </w:r>
      <w:r w:rsidR="0013731D">
        <w:t xml:space="preserve"> benoemen,</w:t>
      </w:r>
      <w:r w:rsidR="004C56AE">
        <w:t xml:space="preserve"> onder andere op het gebied van het beroepsgeheim, het opstellen van verklaringen of rapportages, dossiervoering en grensoverschrijdend </w:t>
      </w:r>
      <w:r w:rsidR="004C56AE" w:rsidRPr="00254C17">
        <w:t>gedrag</w:t>
      </w:r>
      <w:r w:rsidR="0013731D" w:rsidRPr="00254C17">
        <w:t xml:space="preserve">. </w:t>
      </w:r>
      <w:r w:rsidR="000C269F" w:rsidRPr="00254C17">
        <w:rPr>
          <w:bCs/>
        </w:rPr>
        <w:t xml:space="preserve">U weet welke stappenplannen u kunt volgen bij voorkomende </w:t>
      </w:r>
      <w:r w:rsidR="004B2C92" w:rsidRPr="00254C17">
        <w:rPr>
          <w:bCs/>
        </w:rPr>
        <w:t>juridisch-</w:t>
      </w:r>
      <w:r w:rsidR="000C269F" w:rsidRPr="00254C17">
        <w:rPr>
          <w:bCs/>
        </w:rPr>
        <w:t>ethische dilemma's.</w:t>
      </w:r>
      <w:r w:rsidR="000C269F" w:rsidRPr="00254C17">
        <w:rPr>
          <w:b/>
          <w:bCs/>
        </w:rPr>
        <w:t xml:space="preserve"> </w:t>
      </w:r>
      <w:r w:rsidR="0013731D" w:rsidRPr="00254C17">
        <w:t>Daarnaast</w:t>
      </w:r>
      <w:r w:rsidR="0013731D">
        <w:t xml:space="preserve"> kunt u aangeven wat de belangrijkste kenmerken zijn van de verschillende wettelijke en klachtenprocedures</w:t>
      </w:r>
      <w:r w:rsidR="0030684C">
        <w:t xml:space="preserve">: </w:t>
      </w:r>
      <w:r w:rsidR="0013731D">
        <w:t xml:space="preserve"> het klacht-, civiel, tucht- en strafrecht.  </w:t>
      </w:r>
      <w:r w:rsidRPr="009C751A">
        <w:br/>
        <w:t xml:space="preserve">U heeft kennis van de ontwikkeling in het aantal tuchtklachten over uw beroepsgroep over de afgelopen jaren en van casuïstiek en/of normontwikkeling op diverse gebieden van uw beroepsuitoefening. U kunt </w:t>
      </w:r>
      <w:r w:rsidR="0013731D">
        <w:t xml:space="preserve">reflecteren op </w:t>
      </w:r>
      <w:r w:rsidRPr="009C751A">
        <w:t xml:space="preserve">tuchtuitspraken  </w:t>
      </w:r>
      <w:r w:rsidR="0013731D">
        <w:t xml:space="preserve">en </w:t>
      </w:r>
      <w:r w:rsidRPr="009C751A">
        <w:t xml:space="preserve">weet wat u kunt doen om een tuchtklacht te voorkomen en weet hoe u in het geval van een tuchtklacht het beste kunt handelen. </w:t>
      </w:r>
    </w:p>
    <w:p w:rsidR="009C751A" w:rsidRPr="009C751A" w:rsidRDefault="009C751A" w:rsidP="009C751A">
      <w:r w:rsidRPr="009C751A">
        <w:rPr>
          <w:b/>
          <w:bCs/>
        </w:rPr>
        <w:t>Doelgroep</w:t>
      </w:r>
      <w:r w:rsidRPr="009C751A">
        <w:br/>
      </w:r>
      <w:proofErr w:type="spellStart"/>
      <w:r w:rsidRPr="009C751A">
        <w:t>Gz</w:t>
      </w:r>
      <w:proofErr w:type="spellEnd"/>
      <w:r w:rsidRPr="009C751A">
        <w:t xml:space="preserve">-psychologen, klinisch (neuro)psychologen, psychotherapeuten, psychiaters en verpleegkundig specialisten in de ggz. </w:t>
      </w:r>
    </w:p>
    <w:p w:rsidR="009C751A" w:rsidRPr="009C751A" w:rsidRDefault="009C751A" w:rsidP="009C751A">
      <w:r w:rsidRPr="009C751A">
        <w:rPr>
          <w:b/>
          <w:bCs/>
        </w:rPr>
        <w:t>Inhoud</w:t>
      </w:r>
      <w:r w:rsidRPr="009C751A">
        <w:br/>
        <w:t xml:space="preserve">Aan de orde komen: </w:t>
      </w:r>
    </w:p>
    <w:p w:rsidR="0030684C" w:rsidRPr="00254C17" w:rsidRDefault="0013731D" w:rsidP="009C751A">
      <w:pPr>
        <w:numPr>
          <w:ilvl w:val="0"/>
          <w:numId w:val="1"/>
        </w:numPr>
      </w:pPr>
      <w:r>
        <w:t xml:space="preserve">Overzicht van de belangrijkste regelgeving </w:t>
      </w:r>
      <w:r w:rsidR="004E230D">
        <w:t xml:space="preserve">aan de hand van wetgeving en de beroepscode, onder andere op het gebied van het beroepsgeheim, het opstellen van </w:t>
      </w:r>
      <w:r w:rsidR="004E230D" w:rsidRPr="00254C17">
        <w:t xml:space="preserve">verklaringen of rapportages, dossiervoering en grensoverschrijdend gedrag </w:t>
      </w:r>
    </w:p>
    <w:p w:rsidR="002224FB" w:rsidRPr="00254C17" w:rsidRDefault="002224FB" w:rsidP="002224FB">
      <w:pPr>
        <w:numPr>
          <w:ilvl w:val="0"/>
          <w:numId w:val="1"/>
        </w:numPr>
      </w:pPr>
      <w:r w:rsidRPr="00254C17">
        <w:t xml:space="preserve">Stappenplannen voor het handelen bij veel voorkomende </w:t>
      </w:r>
      <w:r w:rsidR="004B2C92" w:rsidRPr="00254C17">
        <w:t>juridisch-</w:t>
      </w:r>
      <w:r w:rsidRPr="00254C17">
        <w:t>ethische dilemma's</w:t>
      </w:r>
    </w:p>
    <w:p w:rsidR="009C751A" w:rsidRPr="009C751A" w:rsidRDefault="00F4476C" w:rsidP="009C751A">
      <w:pPr>
        <w:numPr>
          <w:ilvl w:val="0"/>
          <w:numId w:val="1"/>
        </w:numPr>
      </w:pPr>
      <w:r>
        <w:t xml:space="preserve">Kenmerken van </w:t>
      </w:r>
      <w:r w:rsidR="004E230D">
        <w:t>wettelijke en klachtenprocedures</w:t>
      </w:r>
      <w:r>
        <w:t>: het klacht-, civiel-, tucht-, en strafrecht</w:t>
      </w:r>
      <w:r w:rsidR="004E230D">
        <w:t xml:space="preserve"> </w:t>
      </w:r>
    </w:p>
    <w:p w:rsidR="009C751A" w:rsidRPr="009C751A" w:rsidRDefault="00F4476C" w:rsidP="009C751A">
      <w:pPr>
        <w:numPr>
          <w:ilvl w:val="0"/>
          <w:numId w:val="1"/>
        </w:numPr>
      </w:pPr>
      <w:r>
        <w:t>Speci</w:t>
      </w:r>
      <w:r w:rsidR="0030684C">
        <w:t>fi</w:t>
      </w:r>
      <w:r>
        <w:t>eke r</w:t>
      </w:r>
      <w:r w:rsidR="009C751A" w:rsidRPr="009C751A">
        <w:t>egelgeving tuchtrecht</w:t>
      </w:r>
    </w:p>
    <w:p w:rsidR="009C751A" w:rsidRPr="009C751A" w:rsidRDefault="009C751A" w:rsidP="009C751A">
      <w:pPr>
        <w:numPr>
          <w:ilvl w:val="0"/>
          <w:numId w:val="1"/>
        </w:numPr>
      </w:pPr>
      <w:r w:rsidRPr="009C751A">
        <w:t>Getalsanalyse tuchtuitspraken verschillende beroepsgroepen in de ggz en casuïstiek</w:t>
      </w:r>
    </w:p>
    <w:p w:rsidR="009C751A" w:rsidRPr="009C751A" w:rsidRDefault="009C751A" w:rsidP="009C751A">
      <w:pPr>
        <w:numPr>
          <w:ilvl w:val="0"/>
          <w:numId w:val="1"/>
        </w:numPr>
      </w:pPr>
      <w:r w:rsidRPr="009C751A">
        <w:lastRenderedPageBreak/>
        <w:t>Lezen en bespreken van tuchtuitspraken in groepjes en klassikaal nabespreken</w:t>
      </w:r>
    </w:p>
    <w:p w:rsidR="009C751A" w:rsidRPr="00305A65" w:rsidRDefault="009C751A">
      <w:bookmarkStart w:id="0" w:name="_GoBack"/>
      <w:bookmarkEnd w:id="0"/>
    </w:p>
    <w:sectPr w:rsidR="009C751A" w:rsidRPr="00305A65" w:rsidSect="001A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Regular">
    <w:panose1 w:val="02040604050406020203"/>
    <w:charset w:val="00"/>
    <w:family w:val="roman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917"/>
    <w:multiLevelType w:val="multilevel"/>
    <w:tmpl w:val="0A6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1A"/>
    <w:rsid w:val="000C269F"/>
    <w:rsid w:val="0013731D"/>
    <w:rsid w:val="001456D1"/>
    <w:rsid w:val="001A4A5D"/>
    <w:rsid w:val="002224FB"/>
    <w:rsid w:val="00254C17"/>
    <w:rsid w:val="00305A65"/>
    <w:rsid w:val="0030684C"/>
    <w:rsid w:val="0036199C"/>
    <w:rsid w:val="004B2C92"/>
    <w:rsid w:val="004C56AE"/>
    <w:rsid w:val="004E230D"/>
    <w:rsid w:val="00694355"/>
    <w:rsid w:val="008A2246"/>
    <w:rsid w:val="009C0C85"/>
    <w:rsid w:val="009C751A"/>
    <w:rsid w:val="00B32A69"/>
    <w:rsid w:val="00B82F0D"/>
    <w:rsid w:val="00C46D95"/>
    <w:rsid w:val="00D056BE"/>
    <w:rsid w:val="00F4476C"/>
    <w:rsid w:val="00F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210B4-1EF8-4906-8028-2A654BE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ala-Regular" w:eastAsiaTheme="minorHAnsi" w:hAnsi="Scala-Regular" w:cstheme="minorBidi"/>
        <w:sz w:val="23"/>
        <w:szCs w:val="23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A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751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3367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731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9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383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91087">
                                  <w:marLeft w:val="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98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05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7531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32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31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2622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900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28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1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01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Dirks</dc:creator>
  <cp:lastModifiedBy>Hanneke van de Kamp</cp:lastModifiedBy>
  <cp:revision>3</cp:revision>
  <dcterms:created xsi:type="dcterms:W3CDTF">2016-05-12T10:51:00Z</dcterms:created>
  <dcterms:modified xsi:type="dcterms:W3CDTF">2016-05-12T10:57:00Z</dcterms:modified>
</cp:coreProperties>
</file>